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481585">
        <w:rPr>
          <w:rFonts w:ascii="Times New Roman" w:hAnsi="Times New Roman" w:cs="Times New Roman"/>
          <w:sz w:val="24"/>
          <w:szCs w:val="24"/>
        </w:rPr>
        <w:t>27.12</w:t>
      </w:r>
      <w:r w:rsidR="00FF1DF9">
        <w:rPr>
          <w:rFonts w:ascii="Times New Roman" w:hAnsi="Times New Roman" w:cs="Times New Roman"/>
          <w:sz w:val="24"/>
          <w:szCs w:val="24"/>
        </w:rPr>
        <w:t>.2019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226-п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>, заместитель главы О.В. Змановская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P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 в том числе на реализацию в Нижневартовском районе (далее – районе) национальных проектов (программ) Российской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Увеличение доли территорий улично-дорожной сети населенных пунктов поселения освещенных при помощи энергоэффетивного оборудования,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13E3C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оличество благоустроенных дворовых территорий многоквартирных домов,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F120A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оличество благоустроенных мест общего пользования, ед.</w:t>
            </w:r>
            <w:r w:rsidR="00173A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> 632,8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 488,6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> 629,2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> 487,4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420BA2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  <w:r w:rsidRPr="00420BA2">
        <w:rPr>
          <w:b/>
          <w:sz w:val="28"/>
          <w:szCs w:val="28"/>
        </w:rPr>
        <w:lastRenderedPageBreak/>
        <w:t>Раздел 1</w:t>
      </w:r>
      <w:r>
        <w:rPr>
          <w:b/>
          <w:sz w:val="28"/>
          <w:szCs w:val="28"/>
        </w:rPr>
        <w:t>.</w:t>
      </w:r>
      <w:r w:rsidRPr="00420BA2">
        <w:rPr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3498A" w:rsidRPr="008A6E2C" w:rsidRDefault="0013498A" w:rsidP="001349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благоприятной деловой среды.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 в рамках муниципальной программы, не направлены на регулирование отношений в сфере предпринимательской деятельности.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Инвестиционные проекты.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конкуренции.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Мероприятия, реализуемы в рамках муниципальной программы, не направлены на осуществление мер по развитию конкуренции и содействию импортозамещению в поселении, реализацию стандарта развития конкуренции.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Pr="00676A3C" w:rsidRDefault="0013498A" w:rsidP="0013498A">
      <w:pPr>
        <w:pStyle w:val="Default"/>
        <w:ind w:firstLine="851"/>
        <w:jc w:val="both"/>
        <w:rPr>
          <w:b/>
          <w:sz w:val="28"/>
          <w:szCs w:val="28"/>
        </w:rPr>
      </w:pPr>
      <w:r w:rsidRPr="00676A3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676A3C">
        <w:rPr>
          <w:b/>
          <w:sz w:val="28"/>
          <w:szCs w:val="28"/>
        </w:rPr>
        <w:t xml:space="preserve"> Механизм реали</w:t>
      </w:r>
      <w:r>
        <w:rPr>
          <w:b/>
          <w:sz w:val="28"/>
          <w:szCs w:val="28"/>
        </w:rPr>
        <w:t>зации муниципальной программы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A6E2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актов, необходимых для </w:t>
      </w:r>
      <w:r>
        <w:rPr>
          <w:rFonts w:ascii="Times New Roman" w:hAnsi="Times New Roman" w:cs="Times New Roman"/>
          <w:sz w:val="28"/>
          <w:szCs w:val="28"/>
        </w:rPr>
        <w:t>ее выполнения, ежегодное</w:t>
      </w:r>
      <w:r w:rsidRPr="008A6E2C">
        <w:rPr>
          <w:rFonts w:ascii="Times New Roman" w:hAnsi="Times New Roman" w:cs="Times New Roman"/>
          <w:sz w:val="28"/>
          <w:szCs w:val="28"/>
        </w:rPr>
        <w:t xml:space="preserve"> и уточнение перечня программных мероприятий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 с учетом</w:t>
      </w:r>
      <w:r w:rsidRPr="008A6E2C">
        <w:rPr>
          <w:rFonts w:ascii="Times New Roman" w:hAnsi="Times New Roman" w:cs="Times New Roman"/>
          <w:sz w:val="28"/>
          <w:szCs w:val="28"/>
        </w:rPr>
        <w:t xml:space="preserve"> затрат на </w:t>
      </w:r>
      <w:r>
        <w:rPr>
          <w:rFonts w:ascii="Times New Roman" w:hAnsi="Times New Roman" w:cs="Times New Roman"/>
          <w:sz w:val="28"/>
          <w:szCs w:val="28"/>
        </w:rPr>
        <w:t>по программным мероприятиям в соответствии с мониторингом фактически достигнутых целевых показателей реализации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13498A" w:rsidRDefault="0013498A" w:rsidP="0013498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4F22">
        <w:rPr>
          <w:rFonts w:ascii="Times New Roman" w:hAnsi="Times New Roman" w:cs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период. Финансовое обеспечение муниципальной программы осуществляется в пределах средств,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финансирования, предусмотренных по муниципальной программе.</w:t>
      </w: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мероприятий муниципальной программы осуществляется на основе муниципальных контрактов, договор на приобретение товаров (оказание услуг, выполнение работ) для муниципальных нужд, заключаемых законодательством Российской Федерации порядке.</w:t>
      </w: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A6E2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текущее управление реализацией муниципальной программы, обладает право вносить предложения об изменении объемов финансирования, направляемых на решение задач и достижение целей, обеспечивает взаимодействие с соисполнителем муниципальной программы в целях ее наилучшей реализации, в том числе запрашивает у них информацию, необходимую для оценки эффективности ее реализации.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A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муниципальной программы несет ответственность за их качественное и своевременное выполнение, </w:t>
      </w:r>
      <w:r w:rsidRPr="008A6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рациональное использование финансовых средств и ресурсов, выделяемых на реал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4E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целях эффективной реализации муниципальной программы часть функций по исполнению ее мероприятий передана соисполнителю программы: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4E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Осуществлять подготовку программных мероприятий на очередной финансовый год и плановый период, вносит изменения в муниципальный правовой акт об утверждении муниципальной программы в случае уточнения (увеличения/уменьшение) объема финансирования, а так же иных обязанности, направленные на реализацию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4E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исполнитель и соисполнитель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13498A" w:rsidRDefault="004A4E3C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498A" w:rsidRPr="008A6E2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8A" w:rsidRPr="008A6E2C">
        <w:rPr>
          <w:rFonts w:ascii="Times New Roman" w:hAnsi="Times New Roman" w:cs="Times New Roman"/>
          <w:sz w:val="28"/>
          <w:szCs w:val="28"/>
        </w:rPr>
        <w:t>представляет в отдел экономики и финансов администрации сельского поселения информацию о реа</w:t>
      </w:r>
      <w:r w:rsidR="0013498A">
        <w:rPr>
          <w:rFonts w:ascii="Times New Roman" w:hAnsi="Times New Roman" w:cs="Times New Roman"/>
          <w:sz w:val="28"/>
          <w:szCs w:val="28"/>
        </w:rPr>
        <w:t>лизации муниципальной программы (сетевой график) (далее – отчет).</w:t>
      </w:r>
    </w:p>
    <w:p w:rsidR="0013498A" w:rsidRDefault="004A4E3C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3498A">
        <w:rPr>
          <w:rFonts w:ascii="Times New Roman" w:hAnsi="Times New Roman" w:cs="Times New Roman"/>
          <w:sz w:val="28"/>
          <w:szCs w:val="28"/>
        </w:rPr>
        <w:t xml:space="preserve"> Отчет предоставляется в следующие сроки: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4E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A6E2C">
        <w:rPr>
          <w:rFonts w:ascii="Times New Roman" w:hAnsi="Times New Roman" w:cs="Times New Roman"/>
          <w:sz w:val="28"/>
          <w:szCs w:val="28"/>
        </w:rPr>
        <w:t>ежемесячно, в срок до 05 числа месяца, следующего за отчетным, представляет в отдел экономики и финансов администрации сельского поселения информацию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и ответственный исполнитель размещает отчет на официальном веб-сайте поселения.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4E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Ежегодно до 25-го января года, следующего за отчетным годом, на бумажном и электронном носителях за подписью руководителя, согласованный с отделом экономики и финансов </w:t>
      </w:r>
      <w:r w:rsidRPr="008A6E2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общим объемам финансирования.</w:t>
      </w: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2.1</w:t>
      </w:r>
      <w:r w:rsidR="004A4E3C">
        <w:rPr>
          <w:rFonts w:ascii="Times New Roman" w:hAnsi="Times New Roman" w:cs="Times New Roman"/>
          <w:sz w:val="28"/>
          <w:szCs w:val="28"/>
        </w:rPr>
        <w:t>0</w:t>
      </w:r>
      <w:r w:rsidRPr="00EE2325">
        <w:rPr>
          <w:rFonts w:ascii="Times New Roman" w:hAnsi="Times New Roman" w:cs="Times New Roman"/>
          <w:sz w:val="28"/>
          <w:szCs w:val="28"/>
        </w:rPr>
        <w:t xml:space="preserve">. </w:t>
      </w:r>
      <w:r w:rsidRPr="003B4F22">
        <w:rPr>
          <w:rFonts w:ascii="Times New Roman" w:hAnsi="Times New Roman" w:cs="Times New Roman"/>
          <w:sz w:val="28"/>
          <w:szCs w:val="28"/>
        </w:rPr>
        <w:t>Управление, контроль за реализацией муниципальной программы, а так же внесение в нее изменений осуществляется в соответствии с порядком, утвержденным постановлением администрации сельского поселения Ларьяк от 31.10.2018 №182-п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развития».</w:t>
      </w: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"/>
        <w:gridCol w:w="1129"/>
        <w:gridCol w:w="3686"/>
        <w:gridCol w:w="121"/>
        <w:gridCol w:w="1296"/>
        <w:gridCol w:w="101"/>
        <w:gridCol w:w="881"/>
        <w:gridCol w:w="106"/>
        <w:gridCol w:w="949"/>
        <w:gridCol w:w="373"/>
        <w:gridCol w:w="682"/>
        <w:gridCol w:w="594"/>
        <w:gridCol w:w="343"/>
        <w:gridCol w:w="649"/>
        <w:gridCol w:w="227"/>
        <w:gridCol w:w="876"/>
        <w:gridCol w:w="31"/>
        <w:gridCol w:w="1276"/>
        <w:gridCol w:w="1984"/>
      </w:tblGrid>
      <w:tr w:rsidR="000F120A" w:rsidRPr="000F120A" w:rsidTr="00E14939">
        <w:trPr>
          <w:trHeight w:val="9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0F120A">
            <w:pPr>
              <w:ind w:firstLineChars="1500" w:firstLine="33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0F120A" w:rsidRPr="000F120A" w:rsidTr="00E14939">
        <w:trPr>
          <w:trHeight w:val="37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20A" w:rsidRPr="000F120A" w:rsidTr="00E14939">
        <w:trPr>
          <w:gridBefore w:val="1"/>
          <w:wBefore w:w="20" w:type="dxa"/>
          <w:trHeight w:val="503"/>
        </w:trPr>
        <w:tc>
          <w:tcPr>
            <w:tcW w:w="1129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Наименование целевых </w:t>
            </w:r>
          </w:p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показателей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Базовый  показатель на начало реализации муниципальной программы</w:t>
            </w:r>
          </w:p>
        </w:tc>
        <w:tc>
          <w:tcPr>
            <w:tcW w:w="7088" w:type="dxa"/>
            <w:gridSpan w:val="13"/>
            <w:shd w:val="clear" w:color="auto" w:fill="auto"/>
            <w:hideMark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Значения показателя по годам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0F120A" w:rsidRPr="000F120A" w:rsidRDefault="000F120A" w:rsidP="00E149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Целевое значение показателя на момент окончания действия муниципальной программы (2030 г.)</w:t>
            </w:r>
          </w:p>
        </w:tc>
      </w:tr>
      <w:tr w:rsidR="000F120A" w:rsidRPr="000F120A" w:rsidTr="000B763B">
        <w:trPr>
          <w:gridBefore w:val="1"/>
          <w:wBefore w:w="20" w:type="dxa"/>
          <w:trHeight w:val="285"/>
        </w:trPr>
        <w:tc>
          <w:tcPr>
            <w:tcW w:w="1129" w:type="dxa"/>
            <w:vMerge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gridSpan w:val="3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276" w:type="dxa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984" w:type="dxa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20A" w:rsidRPr="000F120A" w:rsidTr="000B763B">
        <w:trPr>
          <w:gridBefore w:val="1"/>
          <w:wBefore w:w="20" w:type="dxa"/>
          <w:trHeight w:val="285"/>
        </w:trPr>
        <w:tc>
          <w:tcPr>
            <w:tcW w:w="1129" w:type="dxa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F120A" w:rsidRPr="000F120A" w:rsidTr="00E45B89">
        <w:trPr>
          <w:gridBefore w:val="1"/>
          <w:wBefore w:w="20" w:type="dxa"/>
          <w:trHeight w:val="1037"/>
        </w:trPr>
        <w:tc>
          <w:tcPr>
            <w:tcW w:w="1129" w:type="dxa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оборудования, %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F120A" w:rsidRPr="000F120A" w:rsidTr="000B763B">
        <w:trPr>
          <w:gridBefore w:val="1"/>
          <w:wBefore w:w="20" w:type="dxa"/>
          <w:trHeight w:val="697"/>
        </w:trPr>
        <w:tc>
          <w:tcPr>
            <w:tcW w:w="1129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F120A" w:rsidRPr="00E45B89" w:rsidRDefault="000F120A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276" w:type="dxa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984" w:type="dxa"/>
            <w:shd w:val="clear" w:color="auto" w:fill="auto"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120A" w:rsidRPr="000F120A" w:rsidTr="000B763B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F120A" w:rsidRPr="00E45B89" w:rsidRDefault="000F120A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общего пользования,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276" w:type="dxa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984" w:type="dxa"/>
            <w:shd w:val="clear" w:color="auto" w:fill="auto"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120A" w:rsidRPr="000F120A" w:rsidTr="000B763B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F120A" w:rsidRPr="00E45B89" w:rsidRDefault="000F120A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F120A" w:rsidRPr="000F120A" w:rsidRDefault="000F120A" w:rsidP="000F120A">
      <w:pPr>
        <w:ind w:left="10206"/>
        <w:jc w:val="right"/>
        <w:rPr>
          <w:rFonts w:ascii="Times New Roman" w:hAnsi="Times New Roman" w:cs="Times New Roman"/>
        </w:rPr>
      </w:pPr>
    </w:p>
    <w:p w:rsidR="00312843" w:rsidRDefault="00312843" w:rsidP="000F1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3702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E149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3702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0B76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0B763B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0B76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E149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Гидора, заместитель главы О.В. Змановская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E45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E45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  <w:r w:rsidRPr="00E45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проектам, портфелям проектов поселения (в том числе направленные на реализацию национальных и федеральных проектов Российской 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14632,8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45B89" w:rsidRPr="000F120A" w:rsidTr="000B763B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E45B89" w:rsidRDefault="00E45B89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E45B89" w:rsidRDefault="00E45B89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E45B89" w:rsidRDefault="00E45B89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Pr="000F120A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Характеристика основных мероприятий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муниципальной программы, их связь с целевыми показателями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235"/>
        <w:gridCol w:w="3423"/>
        <w:gridCol w:w="4819"/>
        <w:gridCol w:w="4253"/>
      </w:tblGrid>
      <w:tr w:rsidR="000F120A" w:rsidRPr="000F120A" w:rsidTr="004E21FF">
        <w:trPr>
          <w:trHeight w:val="309"/>
        </w:trPr>
        <w:tc>
          <w:tcPr>
            <w:tcW w:w="54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№ п/п</w:t>
            </w:r>
          </w:p>
        </w:tc>
        <w:tc>
          <w:tcPr>
            <w:tcW w:w="10477" w:type="dxa"/>
            <w:gridSpan w:val="3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 целевого показателя*</w:t>
            </w:r>
          </w:p>
        </w:tc>
      </w:tr>
      <w:tr w:rsidR="000F120A" w:rsidRPr="000F120A" w:rsidTr="004E21FF">
        <w:trPr>
          <w:trHeight w:val="309"/>
        </w:trPr>
        <w:tc>
          <w:tcPr>
            <w:tcW w:w="546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0477" w:type="dxa"/>
            <w:gridSpan w:val="3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0F120A" w:rsidRPr="000F120A" w:rsidTr="004E21FF">
        <w:tc>
          <w:tcPr>
            <w:tcW w:w="546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Номер приложения к муниципальной (государст</w:t>
            </w:r>
            <w:r w:rsidR="00481585">
              <w:rPr>
                <w:rFonts w:ascii="Times New Roman" w:eastAsia="Courier New" w:hAnsi="Times New Roman" w:cs="Times New Roman"/>
                <w:b/>
              </w:rPr>
              <w:t>в</w:t>
            </w:r>
            <w:r w:rsidRPr="000F120A">
              <w:rPr>
                <w:rFonts w:ascii="Times New Roman" w:eastAsia="Courier New" w:hAnsi="Times New Roman" w:cs="Times New Roman"/>
                <w:b/>
              </w:rPr>
              <w:t>енной) программе, реквизиты нормативного правового акта, наименование портфеля проектов (проекта)</w:t>
            </w:r>
            <w:r w:rsidRPr="000F120A">
              <w:rPr>
                <w:rFonts w:ascii="Times New Roman" w:eastAsia="Courier New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</w:p>
        </w:tc>
      </w:tr>
      <w:tr w:rsidR="000F120A" w:rsidRPr="000F120A" w:rsidTr="004E21FF">
        <w:tc>
          <w:tcPr>
            <w:tcW w:w="546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Цель « Повышение надежности и качества предоставления жилищно-коммунальных услуг»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DC3039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Задача «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</w:t>
            </w: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0F120A" w:rsidRPr="000F120A" w:rsidTr="004E21FF"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Предоставление субсидии на возмещения недополученных доходов организациям, осуществляющим реализацию населению услуг </w:t>
            </w:r>
            <w:r w:rsidR="00E45B89" w:rsidRPr="003B5CA3">
              <w:rPr>
                <w:rFonts w:ascii="Times New Roman" w:eastAsia="Courier New" w:hAnsi="Times New Roman" w:cs="Times New Roman"/>
              </w:rPr>
              <w:t>вывоза жидких коммунальных отходов</w:t>
            </w:r>
            <w:r w:rsidR="00677062" w:rsidRPr="003B5CA3">
              <w:rPr>
                <w:rFonts w:ascii="Times New Roman" w:eastAsia="Courier New" w:hAnsi="Times New Roman" w:cs="Times New Roman"/>
              </w:rPr>
              <w:t>, субвенции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45B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F120A" w:rsidRPr="003B5CA3" w:rsidRDefault="000F120A" w:rsidP="00E45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A" w:rsidRPr="003B5CA3" w:rsidRDefault="000F120A" w:rsidP="00E45B8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«</w:t>
            </w:r>
            <w:r w:rsidR="00DC3039" w:rsidRPr="003B5CA3">
              <w:rPr>
                <w:rFonts w:ascii="Times New Roman" w:hAnsi="Times New Roman" w:cs="Times New Roman"/>
              </w:rPr>
              <w:t>Улучшение качества жизни населения поселения за счет реализации энергосберегающих мероприятий</w:t>
            </w:r>
            <w:r w:rsidR="00DC3039" w:rsidRPr="003B5CA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="00DC3039" w:rsidRPr="003B5CA3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DC3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Задача</w:t>
            </w:r>
            <w:r w:rsidR="00DC3039" w:rsidRPr="003B5CA3">
              <w:rPr>
                <w:rFonts w:ascii="Times New Roman" w:eastAsia="Courier New" w:hAnsi="Times New Roman" w:cs="Times New Roman"/>
              </w:rPr>
              <w:t xml:space="preserve"> «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DC3039" w:rsidRPr="003B5CA3">
              <w:rPr>
                <w:rFonts w:ascii="Times New Roman" w:hAnsi="Times New Roman" w:cs="Times New Roman"/>
              </w:rPr>
              <w:t>Повышение энергетической эффективности в сфере потребления 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45B89">
        <w:trPr>
          <w:trHeight w:val="2297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повышения энергоэффективности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E64C8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Заключение договоров на поставку электроэнергии, техническое обслужи</w:t>
            </w:r>
            <w:r w:rsidR="005E64C8" w:rsidRPr="003B5CA3">
              <w:rPr>
                <w:rFonts w:ascii="Times New Roman" w:eastAsia="Courier New" w:hAnsi="Times New Roman" w:cs="Times New Roman"/>
              </w:rPr>
              <w:t>вание систем уличного освещения;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5E64C8" w:rsidRPr="003B5CA3">
              <w:rPr>
                <w:rFonts w:ascii="Times New Roman" w:eastAsia="Courier New" w:hAnsi="Times New Roman" w:cs="Times New Roman"/>
              </w:rPr>
              <w:t xml:space="preserve">расходы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t xml:space="preserve">будут направленны на приобретение и установку энергосберегающих ламп, приобретение и замену светодиодных уличных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светильников.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Федеральный закон от 23.11.2009 № 261-ФЗ «Об энергосбережении и о повышении энергетической эффективности и о внесении </w:t>
            </w:r>
            <w:r w:rsidRPr="003B5CA3">
              <w:rPr>
                <w:rFonts w:ascii="Times New Roman" w:eastAsia="Courier New" w:hAnsi="Times New Roman" w:cs="Times New Roman"/>
              </w:rPr>
              <w:lastRenderedPageBreak/>
              <w:t>изменений в отдельные законодательные акты Российской Федерации»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hAnsi="Times New Roman"/>
              </w:rPr>
            </w:pPr>
            <w:r w:rsidRPr="003B5CA3">
              <w:rPr>
                <w:rFonts w:ascii="Times New Roman" w:hAnsi="Times New Roman"/>
              </w:rPr>
              <w:lastRenderedPageBreak/>
              <w:t>Показатель: «Увеличение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оборудования» % определяется путем соотношения протяженности  улиц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 к общей протяженности улиц населенных пунктов</w:t>
            </w:r>
          </w:p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lastRenderedPageBreak/>
              <w:t>Цель  «Повышение уровня благоустройства поселения»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Задача «</w:t>
            </w:r>
            <w:r w:rsidR="00DC3039" w:rsidRPr="003B5CA3">
              <w:rPr>
                <w:rFonts w:ascii="Times New Roman" w:hAnsi="Times New Roman" w:cs="Times New Roman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  <w:r w:rsidRPr="003B5CA3">
              <w:rPr>
                <w:rFonts w:ascii="Times New Roman" w:hAnsi="Times New Roman" w:cs="Times New Roman"/>
              </w:rPr>
              <w:t>»</w:t>
            </w:r>
          </w:p>
        </w:tc>
      </w:tr>
      <w:tr w:rsidR="000F120A" w:rsidRPr="000F120A" w:rsidTr="00545B51">
        <w:trPr>
          <w:trHeight w:val="1028"/>
        </w:trPr>
        <w:tc>
          <w:tcPr>
            <w:tcW w:w="546" w:type="dxa"/>
            <w:shd w:val="clear" w:color="auto" w:fill="auto"/>
            <w:hideMark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формирования комфортной городской среды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45B51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Реализация мероприятий по благоустройству территорий </w:t>
            </w:r>
            <w:r w:rsidR="00545B51" w:rsidRPr="003B5CA3">
              <w:rPr>
                <w:rFonts w:ascii="Times New Roman" w:eastAsia="Courier New" w:hAnsi="Times New Roman" w:cs="Times New Roman"/>
              </w:rPr>
              <w:t>сельского поселения</w:t>
            </w:r>
            <w:r w:rsidRPr="003B5CA3">
              <w:rPr>
                <w:rFonts w:ascii="Times New Roman" w:eastAsia="Courier New" w:hAnsi="Times New Roman" w:cs="Times New Roman"/>
              </w:rPr>
              <w:t>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содержанию территорий общего пользования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Фе-дерации»,.</w:t>
            </w:r>
            <w:r w:rsidRPr="003B5CA3">
              <w:rPr>
                <w:rFonts w:ascii="Times New Roman" w:eastAsia="Courier New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Pr="003B5CA3">
              <w:rPr>
                <w:rFonts w:ascii="Times New Roman" w:hAnsi="Times New Roman" w:cs="Times New Roman"/>
              </w:rPr>
      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</w:t>
            </w:r>
            <w:r w:rsidRPr="003B5CA3">
              <w:rPr>
                <w:rFonts w:ascii="Times New Roman" w:hAnsi="Times New Roman" w:cs="Times New Roman"/>
                <w:bCs/>
              </w:rPr>
              <w:t>«Жилищно-коммунальный комплекс и городская среда»</w:t>
            </w:r>
          </w:p>
          <w:p w:rsidR="000F120A" w:rsidRPr="003B5CA3" w:rsidRDefault="000F120A" w:rsidP="00E14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  <w:r w:rsidRPr="003B5CA3">
              <w:rPr>
                <w:rFonts w:ascii="Times New Roman" w:hAnsi="Times New Roman"/>
              </w:rPr>
              <w:t>Показатель:</w:t>
            </w:r>
            <w:r w:rsidRPr="003B5CA3">
              <w:rPr>
                <w:rFonts w:ascii="Times New Roman" w:eastAsia="Courier New" w:hAnsi="Times New Roman"/>
              </w:rPr>
              <w:t xml:space="preserve"> «Количество благоустроенных дворовых территорий многоквартирных домов, ед.» - количество благоустроенных территорий равняется количеству территорий</w:t>
            </w:r>
            <w:r w:rsidR="00481585">
              <w:rPr>
                <w:rFonts w:ascii="Times New Roman" w:eastAsia="Courier New" w:hAnsi="Times New Roman"/>
              </w:rPr>
              <w:t>,</w:t>
            </w:r>
            <w:r w:rsidRPr="003B5CA3">
              <w:rPr>
                <w:rFonts w:ascii="Times New Roman" w:eastAsia="Courier New" w:hAnsi="Times New Roman"/>
              </w:rPr>
              <w:t xml:space="preserve"> указан</w:t>
            </w:r>
            <w:r w:rsidR="00481585">
              <w:rPr>
                <w:rFonts w:ascii="Times New Roman" w:eastAsia="Courier New" w:hAnsi="Times New Roman"/>
              </w:rPr>
              <w:t>н</w:t>
            </w:r>
            <w:r w:rsidRPr="003B5CA3">
              <w:rPr>
                <w:rFonts w:ascii="Times New Roman" w:eastAsia="Courier New" w:hAnsi="Times New Roman"/>
              </w:rPr>
              <w:t>ых в таблице 1;</w:t>
            </w:r>
          </w:p>
          <w:p w:rsidR="000F120A" w:rsidRPr="003B5CA3" w:rsidRDefault="000F120A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Показатель: «</w:t>
            </w:r>
            <w:r w:rsidRPr="003B5CA3">
              <w:rPr>
                <w:rFonts w:ascii="Times New Roman" w:hAnsi="Times New Roman" w:cs="Times New Roman"/>
              </w:rPr>
              <w:t>К</w:t>
            </w:r>
            <w:r w:rsidRPr="003B5CA3">
              <w:rPr>
                <w:rFonts w:ascii="Times New Roman" w:eastAsia="Courier New" w:hAnsi="Times New Roman" w:cs="Times New Roman"/>
              </w:rPr>
              <w:t>оличество благоустроенных мест общего пользования, ед.» -количество благоустроенных территорий равняется</w:t>
            </w:r>
            <w:r w:rsidR="00312843" w:rsidRPr="003B5CA3">
              <w:rPr>
                <w:rFonts w:ascii="Times New Roman" w:eastAsia="Courier New" w:hAnsi="Times New Roman" w:cs="Times New Roman"/>
              </w:rPr>
              <w:t xml:space="preserve"> количеству территорий указаны </w:t>
            </w:r>
            <w:r w:rsidRPr="003B5CA3">
              <w:rPr>
                <w:rFonts w:ascii="Times New Roman" w:eastAsia="Courier New" w:hAnsi="Times New Roman" w:cs="Times New Roman"/>
              </w:rPr>
              <w:t>в таблице 1</w:t>
            </w:r>
          </w:p>
        </w:tc>
      </w:tr>
    </w:tbl>
    <w:p w:rsidR="00AE5996" w:rsidRDefault="00AE5996" w:rsidP="005E64C8">
      <w:pPr>
        <w:spacing w:line="240" w:lineRule="auto"/>
        <w:ind w:right="284"/>
        <w:jc w:val="both"/>
      </w:pPr>
      <w:bookmarkStart w:id="0" w:name="_GoBack"/>
      <w:bookmarkEnd w:id="0"/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DD" w:rsidRDefault="005859DD">
      <w:pPr>
        <w:spacing w:after="0" w:line="240" w:lineRule="auto"/>
      </w:pPr>
      <w:r>
        <w:separator/>
      </w:r>
    </w:p>
  </w:endnote>
  <w:endnote w:type="continuationSeparator" w:id="1">
    <w:p w:rsidR="005859DD" w:rsidRDefault="005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DD" w:rsidRDefault="005859DD">
      <w:pPr>
        <w:spacing w:after="0" w:line="240" w:lineRule="auto"/>
      </w:pPr>
      <w:r>
        <w:separator/>
      </w:r>
    </w:p>
  </w:footnote>
  <w:footnote w:type="continuationSeparator" w:id="1">
    <w:p w:rsidR="005859DD" w:rsidRDefault="0058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DD8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12843"/>
    <w:rsid w:val="0037026E"/>
    <w:rsid w:val="003B5CA3"/>
    <w:rsid w:val="00440EB3"/>
    <w:rsid w:val="00481585"/>
    <w:rsid w:val="004A4E3C"/>
    <w:rsid w:val="004E21FF"/>
    <w:rsid w:val="00545B51"/>
    <w:rsid w:val="005859DD"/>
    <w:rsid w:val="005E64C8"/>
    <w:rsid w:val="0060636D"/>
    <w:rsid w:val="00677062"/>
    <w:rsid w:val="00680851"/>
    <w:rsid w:val="00686E3B"/>
    <w:rsid w:val="006C1036"/>
    <w:rsid w:val="006D1A6F"/>
    <w:rsid w:val="00745AAC"/>
    <w:rsid w:val="00755068"/>
    <w:rsid w:val="0079472D"/>
    <w:rsid w:val="007A280D"/>
    <w:rsid w:val="007B7AED"/>
    <w:rsid w:val="007F4618"/>
    <w:rsid w:val="00800B9F"/>
    <w:rsid w:val="009571F8"/>
    <w:rsid w:val="009E5C95"/>
    <w:rsid w:val="009F1024"/>
    <w:rsid w:val="009F2379"/>
    <w:rsid w:val="00A968B5"/>
    <w:rsid w:val="00AE5996"/>
    <w:rsid w:val="00B056FC"/>
    <w:rsid w:val="00C016AC"/>
    <w:rsid w:val="00C0279D"/>
    <w:rsid w:val="00C4250A"/>
    <w:rsid w:val="00C74345"/>
    <w:rsid w:val="00D96F9D"/>
    <w:rsid w:val="00DC3039"/>
    <w:rsid w:val="00E14939"/>
    <w:rsid w:val="00E45B8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F32A-083F-4996-8A39-9C37DF48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5</cp:revision>
  <cp:lastPrinted>2019-12-16T10:09:00Z</cp:lastPrinted>
  <dcterms:created xsi:type="dcterms:W3CDTF">2019-12-30T13:25:00Z</dcterms:created>
  <dcterms:modified xsi:type="dcterms:W3CDTF">2020-01-06T15:04:00Z</dcterms:modified>
</cp:coreProperties>
</file>